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ECDE" w14:textId="77777777" w:rsidR="009C77EB" w:rsidRDefault="009C77EB" w:rsidP="009C77EB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E01DB0">
        <w:rPr>
          <w:b/>
          <w:sz w:val="22"/>
          <w:szCs w:val="22"/>
        </w:rPr>
        <w:t>Тарифы Исполнителя</w:t>
      </w:r>
    </w:p>
    <w:p w14:paraId="0AE9E548" w14:textId="77777777" w:rsidR="009C77EB" w:rsidRPr="006C79B2" w:rsidRDefault="009C77EB" w:rsidP="009C77EB">
      <w:pPr>
        <w:autoSpaceDE w:val="0"/>
        <w:autoSpaceDN w:val="0"/>
        <w:adjustRightInd w:val="0"/>
        <w:ind w:firstLine="540"/>
        <w:jc w:val="center"/>
        <w:rPr>
          <w:b/>
          <w:bCs/>
          <w:u w:val="single"/>
        </w:rPr>
      </w:pPr>
      <w:r>
        <w:rPr>
          <w:sz w:val="16"/>
          <w:szCs w:val="16"/>
        </w:rPr>
        <w:t>на п</w:t>
      </w:r>
      <w:r w:rsidRPr="00E01DB0">
        <w:rPr>
          <w:sz w:val="16"/>
          <w:szCs w:val="16"/>
        </w:rPr>
        <w:t>редоставление доступа к ИС ЭПС Исполнителя для формирования и передачи ЭТС в АСВД ТО</w:t>
      </w:r>
      <w:r>
        <w:rPr>
          <w:sz w:val="16"/>
          <w:szCs w:val="16"/>
        </w:rPr>
        <w:t xml:space="preserve"> </w:t>
      </w:r>
      <w:r w:rsidRPr="006C79B2">
        <w:rPr>
          <w:b/>
          <w:bCs/>
          <w:u w:val="single"/>
        </w:rPr>
        <w:t>с 01.0</w:t>
      </w:r>
      <w:r>
        <w:rPr>
          <w:b/>
          <w:bCs/>
          <w:u w:val="single"/>
        </w:rPr>
        <w:t>1</w:t>
      </w:r>
      <w:r w:rsidRPr="006C79B2">
        <w:rPr>
          <w:b/>
          <w:bCs/>
          <w:u w:val="single"/>
        </w:rPr>
        <w:t>.202</w:t>
      </w:r>
      <w:r>
        <w:rPr>
          <w:b/>
          <w:bCs/>
          <w:u w:val="single"/>
        </w:rPr>
        <w:t>6</w:t>
      </w:r>
    </w:p>
    <w:tbl>
      <w:tblPr>
        <w:tblW w:w="57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1"/>
      </w:tblGrid>
      <w:tr w:rsidR="009C77EB" w:rsidRPr="00545342" w14:paraId="099DF247" w14:textId="77777777" w:rsidTr="00740C62">
        <w:tc>
          <w:tcPr>
            <w:tcW w:w="0" w:type="auto"/>
            <w:vAlign w:val="center"/>
            <w:hideMark/>
          </w:tcPr>
          <w:p w14:paraId="4A0DAC75" w14:textId="77777777" w:rsidR="009C77EB" w:rsidRPr="00545342" w:rsidRDefault="009C77EB" w:rsidP="00740C62">
            <w:pPr>
              <w:rPr>
                <w:rFonts w:ascii="Helvetica" w:hAnsi="Helvetica" w:cs="Helvetica"/>
                <w:color w:val="4D4D4D"/>
                <w:sz w:val="21"/>
                <w:szCs w:val="21"/>
              </w:rPr>
            </w:pPr>
          </w:p>
        </w:tc>
      </w:tr>
    </w:tbl>
    <w:p w14:paraId="0B64453E" w14:textId="77777777" w:rsidR="009C77EB" w:rsidRPr="004E4889" w:rsidRDefault="009C77EB" w:rsidP="009C77EB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Style w:val="ac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1134"/>
        <w:gridCol w:w="1134"/>
        <w:gridCol w:w="1276"/>
        <w:gridCol w:w="1843"/>
      </w:tblGrid>
      <w:tr w:rsidR="009C77EB" w14:paraId="682CE7EC" w14:textId="77777777" w:rsidTr="00740C62">
        <w:tc>
          <w:tcPr>
            <w:tcW w:w="1277" w:type="dxa"/>
            <w:vMerge w:val="restart"/>
          </w:tcPr>
          <w:p w14:paraId="20C11EE3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Тариф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14:paraId="2BCAA942" w14:textId="77777777" w:rsidR="009C77EB" w:rsidRPr="00AF1805" w:rsidRDefault="009C77EB" w:rsidP="00740C6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544" w:type="dxa"/>
            <w:gridSpan w:val="3"/>
          </w:tcPr>
          <w:p w14:paraId="18CC04B2" w14:textId="77777777" w:rsidR="009C77EB" w:rsidRPr="00AF1805" w:rsidRDefault="009C77EB" w:rsidP="00740C62">
            <w:pPr>
              <w:autoSpaceDE w:val="0"/>
              <w:autoSpaceDN w:val="0"/>
              <w:adjustRightInd w:val="0"/>
              <w:jc w:val="center"/>
            </w:pPr>
            <w:r w:rsidRPr="00E01DB0">
              <w:rPr>
                <w:b/>
                <w:sz w:val="22"/>
                <w:szCs w:val="22"/>
              </w:rPr>
              <w:t>Стоимость, рубли</w:t>
            </w:r>
          </w:p>
        </w:tc>
        <w:tc>
          <w:tcPr>
            <w:tcW w:w="1843" w:type="dxa"/>
            <w:vMerge w:val="restart"/>
          </w:tcPr>
          <w:p w14:paraId="65DCF196" w14:textId="77777777" w:rsidR="009C77EB" w:rsidRPr="00AF1805" w:rsidRDefault="009C77EB" w:rsidP="00740C62">
            <w:pPr>
              <w:autoSpaceDE w:val="0"/>
              <w:autoSpaceDN w:val="0"/>
              <w:adjustRightInd w:val="0"/>
              <w:jc w:val="center"/>
            </w:pPr>
            <w:r w:rsidRPr="00E01DB0">
              <w:rPr>
                <w:b/>
                <w:sz w:val="22"/>
                <w:szCs w:val="22"/>
              </w:rPr>
              <w:t>Единица тарификации</w:t>
            </w:r>
          </w:p>
        </w:tc>
      </w:tr>
      <w:tr w:rsidR="009C77EB" w14:paraId="51E03117" w14:textId="77777777" w:rsidTr="00740C62">
        <w:tc>
          <w:tcPr>
            <w:tcW w:w="1277" w:type="dxa"/>
            <w:vMerge/>
          </w:tcPr>
          <w:p w14:paraId="1DCA402C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730C9FFD" w14:textId="77777777" w:rsidR="009C77EB" w:rsidRPr="00AF1805" w:rsidRDefault="009C77EB" w:rsidP="00740C6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</w:tcPr>
          <w:p w14:paraId="46629C1B" w14:textId="77777777" w:rsidR="009C77EB" w:rsidRPr="005949AC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9AC">
              <w:rPr>
                <w:b/>
                <w:bCs/>
              </w:rPr>
              <w:t>Цена без НДС</w:t>
            </w:r>
          </w:p>
        </w:tc>
        <w:tc>
          <w:tcPr>
            <w:tcW w:w="1134" w:type="dxa"/>
          </w:tcPr>
          <w:p w14:paraId="500B8090" w14:textId="77777777" w:rsidR="009C77EB" w:rsidRPr="005949AC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9AC">
              <w:rPr>
                <w:b/>
                <w:bCs/>
              </w:rPr>
              <w:t>НДС</w:t>
            </w:r>
          </w:p>
          <w:p w14:paraId="644FFC76" w14:textId="77777777" w:rsidR="009C77EB" w:rsidRPr="005949AC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9AC">
              <w:rPr>
                <w:b/>
                <w:bCs/>
              </w:rPr>
              <w:t>(5 %)</w:t>
            </w:r>
          </w:p>
        </w:tc>
        <w:tc>
          <w:tcPr>
            <w:tcW w:w="1276" w:type="dxa"/>
          </w:tcPr>
          <w:p w14:paraId="6B952723" w14:textId="77777777" w:rsidR="009C77EB" w:rsidRPr="005949AC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9AC">
              <w:rPr>
                <w:b/>
                <w:bCs/>
              </w:rPr>
              <w:t>Стоимость, в т.ч. НДС</w:t>
            </w:r>
          </w:p>
        </w:tc>
        <w:tc>
          <w:tcPr>
            <w:tcW w:w="1843" w:type="dxa"/>
            <w:vMerge/>
          </w:tcPr>
          <w:p w14:paraId="540B559C" w14:textId="77777777" w:rsidR="009C77EB" w:rsidRPr="00AF1805" w:rsidRDefault="009C77EB" w:rsidP="00740C62">
            <w:pPr>
              <w:autoSpaceDE w:val="0"/>
              <w:autoSpaceDN w:val="0"/>
              <w:adjustRightInd w:val="0"/>
            </w:pPr>
          </w:p>
        </w:tc>
      </w:tr>
      <w:tr w:rsidR="009C77EB" w14:paraId="67F26601" w14:textId="77777777" w:rsidTr="00740C62">
        <w:tc>
          <w:tcPr>
            <w:tcW w:w="1277" w:type="dxa"/>
            <w:vMerge w:val="restart"/>
          </w:tcPr>
          <w:p w14:paraId="20C81D05" w14:textId="77777777" w:rsidR="009C77EB" w:rsidRPr="00545342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Обычный</w:t>
            </w:r>
            <w:r>
              <w:rPr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80DFE3E" w14:textId="77777777" w:rsidR="009C77EB" w:rsidRPr="00AF1805" w:rsidRDefault="009C77EB" w:rsidP="00740C62">
            <w:pPr>
              <w:autoSpaceDE w:val="0"/>
              <w:autoSpaceDN w:val="0"/>
              <w:adjustRightInd w:val="0"/>
              <w:rPr>
                <w:b/>
              </w:rPr>
            </w:pPr>
            <w:r w:rsidRPr="00AF1805">
              <w:rPr>
                <w:b/>
              </w:rPr>
              <w:t xml:space="preserve">при предварительном информировании </w:t>
            </w:r>
          </w:p>
        </w:tc>
        <w:tc>
          <w:tcPr>
            <w:tcW w:w="1134" w:type="dxa"/>
          </w:tcPr>
          <w:p w14:paraId="0BDF578F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5949AC">
              <w:rPr>
                <w:bCs/>
              </w:rPr>
              <w:t>209,52</w:t>
            </w:r>
          </w:p>
        </w:tc>
        <w:tc>
          <w:tcPr>
            <w:tcW w:w="1134" w:type="dxa"/>
          </w:tcPr>
          <w:p w14:paraId="122EC3EC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10,48</w:t>
            </w:r>
          </w:p>
        </w:tc>
        <w:tc>
          <w:tcPr>
            <w:tcW w:w="1276" w:type="dxa"/>
          </w:tcPr>
          <w:p w14:paraId="271EE657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220,00</w:t>
            </w:r>
          </w:p>
        </w:tc>
        <w:tc>
          <w:tcPr>
            <w:tcW w:w="1843" w:type="dxa"/>
          </w:tcPr>
          <w:p w14:paraId="67775485" w14:textId="77777777" w:rsidR="009C77EB" w:rsidRPr="00AF1805" w:rsidRDefault="009C77EB" w:rsidP="00740C62">
            <w:pPr>
              <w:autoSpaceDE w:val="0"/>
              <w:autoSpaceDN w:val="0"/>
              <w:adjustRightInd w:val="0"/>
              <w:rPr>
                <w:b/>
              </w:rPr>
            </w:pPr>
            <w:r w:rsidRPr="00AF1805">
              <w:t>За ЭТС, прошедшее форматно-логический контроль в АСВД ТО</w:t>
            </w:r>
          </w:p>
        </w:tc>
      </w:tr>
      <w:tr w:rsidR="009C77EB" w14:paraId="4A70CF28" w14:textId="77777777" w:rsidTr="00740C62">
        <w:tc>
          <w:tcPr>
            <w:tcW w:w="1277" w:type="dxa"/>
            <w:vMerge/>
          </w:tcPr>
          <w:p w14:paraId="59401F96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0C089490" w14:textId="77777777" w:rsidR="009C77EB" w:rsidRPr="00AF1805" w:rsidRDefault="009C77EB" w:rsidP="00740C62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 w:rsidRPr="00AF1805">
              <w:rPr>
                <w:b/>
              </w:rPr>
              <w:t>при помещении товаров под процедуру таможенного транзита:</w:t>
            </w:r>
          </w:p>
        </w:tc>
        <w:tc>
          <w:tcPr>
            <w:tcW w:w="1134" w:type="dxa"/>
          </w:tcPr>
          <w:p w14:paraId="40380E56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5949AC">
              <w:rPr>
                <w:bCs/>
              </w:rPr>
              <w:t>138,10</w:t>
            </w:r>
          </w:p>
        </w:tc>
        <w:tc>
          <w:tcPr>
            <w:tcW w:w="1134" w:type="dxa"/>
          </w:tcPr>
          <w:p w14:paraId="418AD1A8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6,90</w:t>
            </w:r>
          </w:p>
        </w:tc>
        <w:tc>
          <w:tcPr>
            <w:tcW w:w="1276" w:type="dxa"/>
          </w:tcPr>
          <w:p w14:paraId="059A00C3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145,00</w:t>
            </w:r>
          </w:p>
        </w:tc>
        <w:tc>
          <w:tcPr>
            <w:tcW w:w="1843" w:type="dxa"/>
          </w:tcPr>
          <w:p w14:paraId="001BED72" w14:textId="77777777" w:rsidR="009C77EB" w:rsidRPr="00AF1805" w:rsidRDefault="009C77EB" w:rsidP="00740C62">
            <w:pPr>
              <w:autoSpaceDE w:val="0"/>
              <w:autoSpaceDN w:val="0"/>
              <w:adjustRightInd w:val="0"/>
              <w:rPr>
                <w:b/>
              </w:rPr>
            </w:pPr>
            <w:r w:rsidRPr="00AF1805">
              <w:t xml:space="preserve">За </w:t>
            </w:r>
            <w:r>
              <w:t xml:space="preserve">каждую </w:t>
            </w:r>
            <w:r w:rsidRPr="00AF1805">
              <w:t>зарегистрированную ТД</w:t>
            </w:r>
          </w:p>
        </w:tc>
      </w:tr>
      <w:tr w:rsidR="009C77EB" w14:paraId="46E400C6" w14:textId="77777777" w:rsidTr="00740C62">
        <w:tc>
          <w:tcPr>
            <w:tcW w:w="1277" w:type="dxa"/>
            <w:vMerge/>
          </w:tcPr>
          <w:p w14:paraId="64C819D5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6B93E29C" w14:textId="77777777" w:rsidR="009C77EB" w:rsidRPr="00AF1805" w:rsidRDefault="009C77EB" w:rsidP="00740C62">
            <w:pPr>
              <w:autoSpaceDE w:val="0"/>
              <w:autoSpaceDN w:val="0"/>
              <w:adjustRightInd w:val="0"/>
              <w:rPr>
                <w:b/>
              </w:rPr>
            </w:pPr>
            <w:r w:rsidRPr="00AF1805">
              <w:rPr>
                <w:b/>
              </w:rPr>
              <w:t>при электронном декларировании:</w:t>
            </w:r>
          </w:p>
        </w:tc>
        <w:tc>
          <w:tcPr>
            <w:tcW w:w="1134" w:type="dxa"/>
          </w:tcPr>
          <w:p w14:paraId="23695988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  <w:tc>
          <w:tcPr>
            <w:tcW w:w="1134" w:type="dxa"/>
          </w:tcPr>
          <w:p w14:paraId="1B9C8EC0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</w:tcPr>
          <w:p w14:paraId="601D1525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14:paraId="56C10B86" w14:textId="77777777" w:rsidR="009C77EB" w:rsidRPr="00AF1805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C77EB" w14:paraId="6B2B4D8D" w14:textId="77777777" w:rsidTr="00740C62">
        <w:tc>
          <w:tcPr>
            <w:tcW w:w="1277" w:type="dxa"/>
            <w:vMerge/>
          </w:tcPr>
          <w:p w14:paraId="33FE97C1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49108933" w14:textId="77777777" w:rsidR="009C77EB" w:rsidRPr="00AF1805" w:rsidRDefault="009C77EB" w:rsidP="00740C62">
            <w:pPr>
              <w:spacing w:before="100" w:beforeAutospacing="1" w:after="100" w:afterAutospacing="1"/>
              <w:jc w:val="both"/>
            </w:pPr>
            <w:r w:rsidRPr="00AF1805">
              <w:t>- 1 декларация на товары (далее – ДТ)</w:t>
            </w:r>
          </w:p>
        </w:tc>
        <w:tc>
          <w:tcPr>
            <w:tcW w:w="1134" w:type="dxa"/>
          </w:tcPr>
          <w:p w14:paraId="1A6C4B50" w14:textId="77777777" w:rsidR="009C77EB" w:rsidRPr="005949AC" w:rsidRDefault="009C77EB" w:rsidP="00740C62">
            <w:pPr>
              <w:spacing w:before="100" w:beforeAutospacing="1" w:after="100" w:afterAutospacing="1"/>
              <w:rPr>
                <w:bCs/>
              </w:rPr>
            </w:pPr>
            <w:r w:rsidRPr="005949AC">
              <w:rPr>
                <w:bCs/>
              </w:rPr>
              <w:t>438,10</w:t>
            </w:r>
          </w:p>
        </w:tc>
        <w:tc>
          <w:tcPr>
            <w:tcW w:w="1134" w:type="dxa"/>
          </w:tcPr>
          <w:p w14:paraId="4791F11D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21,90</w:t>
            </w:r>
          </w:p>
        </w:tc>
        <w:tc>
          <w:tcPr>
            <w:tcW w:w="1276" w:type="dxa"/>
          </w:tcPr>
          <w:p w14:paraId="44DBB017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460,00</w:t>
            </w:r>
          </w:p>
        </w:tc>
        <w:tc>
          <w:tcPr>
            <w:tcW w:w="1843" w:type="dxa"/>
            <w:vMerge w:val="restart"/>
          </w:tcPr>
          <w:p w14:paraId="3AFF31EE" w14:textId="77777777" w:rsidR="009C77EB" w:rsidRPr="00AF1805" w:rsidRDefault="009C77EB" w:rsidP="00740C62">
            <w:pPr>
              <w:autoSpaceDE w:val="0"/>
              <w:autoSpaceDN w:val="0"/>
              <w:adjustRightInd w:val="0"/>
              <w:rPr>
                <w:b/>
              </w:rPr>
            </w:pPr>
            <w:r w:rsidRPr="00AF1805">
              <w:t xml:space="preserve">За </w:t>
            </w:r>
            <w:r>
              <w:t xml:space="preserve">каждую </w:t>
            </w:r>
            <w:r w:rsidRPr="00AF1805">
              <w:t>зарегистрированную ДТ</w:t>
            </w:r>
          </w:p>
        </w:tc>
      </w:tr>
      <w:tr w:rsidR="009C77EB" w14:paraId="5BA5ACEF" w14:textId="77777777" w:rsidTr="00740C62">
        <w:tc>
          <w:tcPr>
            <w:tcW w:w="1277" w:type="dxa"/>
            <w:vMerge/>
          </w:tcPr>
          <w:p w14:paraId="774B0F1C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158F8CCD" w14:textId="77777777" w:rsidR="009C77EB" w:rsidRPr="00AF1805" w:rsidRDefault="009C77EB" w:rsidP="00740C62">
            <w:pPr>
              <w:spacing w:before="100" w:beforeAutospacing="1" w:after="100" w:afterAutospacing="1"/>
              <w:jc w:val="both"/>
            </w:pPr>
            <w:r>
              <w:t>- 2 ДТ</w:t>
            </w:r>
          </w:p>
        </w:tc>
        <w:tc>
          <w:tcPr>
            <w:tcW w:w="1134" w:type="dxa"/>
          </w:tcPr>
          <w:p w14:paraId="3F19500B" w14:textId="77777777" w:rsidR="009C77EB" w:rsidRPr="005949AC" w:rsidRDefault="009C77EB" w:rsidP="00740C62">
            <w:pPr>
              <w:spacing w:before="100" w:beforeAutospacing="1" w:after="100" w:afterAutospacing="1"/>
              <w:rPr>
                <w:bCs/>
              </w:rPr>
            </w:pPr>
            <w:r w:rsidRPr="005949AC">
              <w:rPr>
                <w:bCs/>
              </w:rPr>
              <w:t>371,43</w:t>
            </w:r>
          </w:p>
        </w:tc>
        <w:tc>
          <w:tcPr>
            <w:tcW w:w="1134" w:type="dxa"/>
          </w:tcPr>
          <w:p w14:paraId="492078FB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18,57</w:t>
            </w:r>
          </w:p>
        </w:tc>
        <w:tc>
          <w:tcPr>
            <w:tcW w:w="1276" w:type="dxa"/>
          </w:tcPr>
          <w:p w14:paraId="7DCE1DDB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390,00</w:t>
            </w:r>
          </w:p>
        </w:tc>
        <w:tc>
          <w:tcPr>
            <w:tcW w:w="1843" w:type="dxa"/>
            <w:vMerge/>
          </w:tcPr>
          <w:p w14:paraId="675C513E" w14:textId="77777777" w:rsidR="009C77EB" w:rsidRPr="00AF1805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C77EB" w14:paraId="770A381A" w14:textId="77777777" w:rsidTr="00740C62">
        <w:tc>
          <w:tcPr>
            <w:tcW w:w="1277" w:type="dxa"/>
            <w:vMerge/>
          </w:tcPr>
          <w:p w14:paraId="7DE83EDD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51C08FA8" w14:textId="77777777" w:rsidR="009C77EB" w:rsidRPr="00AF1805" w:rsidRDefault="009C77EB" w:rsidP="00740C62">
            <w:pPr>
              <w:spacing w:before="100" w:beforeAutospacing="1" w:after="100" w:afterAutospacing="1"/>
              <w:jc w:val="both"/>
            </w:pPr>
            <w:r w:rsidRPr="00AF1805">
              <w:t>- от 2 до 30 ДТ</w:t>
            </w:r>
          </w:p>
        </w:tc>
        <w:tc>
          <w:tcPr>
            <w:tcW w:w="1134" w:type="dxa"/>
          </w:tcPr>
          <w:p w14:paraId="6354051C" w14:textId="77777777" w:rsidR="009C77EB" w:rsidRPr="005949AC" w:rsidRDefault="009C77EB" w:rsidP="00740C62">
            <w:pPr>
              <w:spacing w:before="100" w:beforeAutospacing="1" w:after="100" w:afterAutospacing="1"/>
              <w:rPr>
                <w:bCs/>
              </w:rPr>
            </w:pPr>
            <w:r w:rsidRPr="005949AC">
              <w:rPr>
                <w:bCs/>
              </w:rPr>
              <w:t>366,67</w:t>
            </w:r>
          </w:p>
        </w:tc>
        <w:tc>
          <w:tcPr>
            <w:tcW w:w="1134" w:type="dxa"/>
          </w:tcPr>
          <w:p w14:paraId="2954DE49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18,33</w:t>
            </w:r>
          </w:p>
        </w:tc>
        <w:tc>
          <w:tcPr>
            <w:tcW w:w="1276" w:type="dxa"/>
          </w:tcPr>
          <w:p w14:paraId="37E06B90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385,00</w:t>
            </w:r>
          </w:p>
        </w:tc>
        <w:tc>
          <w:tcPr>
            <w:tcW w:w="1843" w:type="dxa"/>
            <w:vMerge/>
          </w:tcPr>
          <w:p w14:paraId="378B535F" w14:textId="77777777" w:rsidR="009C77EB" w:rsidRPr="00AF1805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C77EB" w14:paraId="576CB32C" w14:textId="77777777" w:rsidTr="00740C62">
        <w:tc>
          <w:tcPr>
            <w:tcW w:w="1277" w:type="dxa"/>
            <w:vMerge/>
          </w:tcPr>
          <w:p w14:paraId="5E17406B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3D0F3631" w14:textId="77777777" w:rsidR="009C77EB" w:rsidRPr="00AF1805" w:rsidRDefault="009C77EB" w:rsidP="00740C62">
            <w:pPr>
              <w:spacing w:before="100" w:beforeAutospacing="1" w:after="100" w:afterAutospacing="1"/>
              <w:jc w:val="both"/>
            </w:pPr>
            <w:r w:rsidRPr="00AF1805">
              <w:t>- от 31 до 50 ДТ</w:t>
            </w:r>
          </w:p>
        </w:tc>
        <w:tc>
          <w:tcPr>
            <w:tcW w:w="1134" w:type="dxa"/>
          </w:tcPr>
          <w:p w14:paraId="0B9ED02B" w14:textId="77777777" w:rsidR="009C77EB" w:rsidRPr="005949AC" w:rsidRDefault="009C77EB" w:rsidP="00740C62">
            <w:pPr>
              <w:spacing w:before="100" w:beforeAutospacing="1" w:after="100" w:afterAutospacing="1"/>
              <w:rPr>
                <w:bCs/>
              </w:rPr>
            </w:pPr>
            <w:r w:rsidRPr="005949AC">
              <w:rPr>
                <w:bCs/>
              </w:rPr>
              <w:t>247,62</w:t>
            </w:r>
          </w:p>
        </w:tc>
        <w:tc>
          <w:tcPr>
            <w:tcW w:w="1134" w:type="dxa"/>
          </w:tcPr>
          <w:p w14:paraId="66A4B758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12,38</w:t>
            </w:r>
          </w:p>
        </w:tc>
        <w:tc>
          <w:tcPr>
            <w:tcW w:w="1276" w:type="dxa"/>
          </w:tcPr>
          <w:p w14:paraId="581A8DDF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260,00</w:t>
            </w:r>
          </w:p>
        </w:tc>
        <w:tc>
          <w:tcPr>
            <w:tcW w:w="1843" w:type="dxa"/>
            <w:vMerge/>
          </w:tcPr>
          <w:p w14:paraId="0DC19B3A" w14:textId="77777777" w:rsidR="009C77EB" w:rsidRPr="00AF1805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C77EB" w14:paraId="21C095DC" w14:textId="77777777" w:rsidTr="00740C62">
        <w:tc>
          <w:tcPr>
            <w:tcW w:w="1277" w:type="dxa"/>
            <w:vMerge/>
          </w:tcPr>
          <w:p w14:paraId="0022742F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44CFD058" w14:textId="77777777" w:rsidR="009C77EB" w:rsidRPr="00AF1805" w:rsidRDefault="009C77EB" w:rsidP="00740C62">
            <w:pPr>
              <w:spacing w:before="100" w:beforeAutospacing="1" w:after="100" w:afterAutospacing="1"/>
              <w:jc w:val="both"/>
            </w:pPr>
            <w:r w:rsidRPr="00AF1805">
              <w:t>- от 51 ДТ</w:t>
            </w:r>
          </w:p>
        </w:tc>
        <w:tc>
          <w:tcPr>
            <w:tcW w:w="1134" w:type="dxa"/>
          </w:tcPr>
          <w:p w14:paraId="73788C52" w14:textId="77777777" w:rsidR="009C77EB" w:rsidRPr="005949AC" w:rsidRDefault="009C77EB" w:rsidP="00740C62">
            <w:pPr>
              <w:spacing w:before="100" w:beforeAutospacing="1" w:after="100" w:afterAutospacing="1"/>
              <w:rPr>
                <w:bCs/>
              </w:rPr>
            </w:pPr>
            <w:r w:rsidRPr="005949AC">
              <w:rPr>
                <w:bCs/>
              </w:rPr>
              <w:t>119,05</w:t>
            </w:r>
          </w:p>
        </w:tc>
        <w:tc>
          <w:tcPr>
            <w:tcW w:w="1134" w:type="dxa"/>
          </w:tcPr>
          <w:p w14:paraId="72AC1188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5,95</w:t>
            </w:r>
          </w:p>
        </w:tc>
        <w:tc>
          <w:tcPr>
            <w:tcW w:w="1276" w:type="dxa"/>
          </w:tcPr>
          <w:p w14:paraId="4E299667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125,00</w:t>
            </w:r>
          </w:p>
        </w:tc>
        <w:tc>
          <w:tcPr>
            <w:tcW w:w="1843" w:type="dxa"/>
            <w:vMerge/>
          </w:tcPr>
          <w:p w14:paraId="2C7BBAF8" w14:textId="77777777" w:rsidR="009C77EB" w:rsidRPr="00AF1805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C77EB" w14:paraId="00718E18" w14:textId="77777777" w:rsidTr="00740C62">
        <w:tc>
          <w:tcPr>
            <w:tcW w:w="1277" w:type="dxa"/>
            <w:vMerge/>
          </w:tcPr>
          <w:p w14:paraId="7441E39F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1EC64EA3" w14:textId="77777777" w:rsidR="009C77EB" w:rsidRPr="00AF1805" w:rsidRDefault="009C77EB" w:rsidP="00740C62">
            <w:pPr>
              <w:autoSpaceDE w:val="0"/>
              <w:autoSpaceDN w:val="0"/>
              <w:adjustRightInd w:val="0"/>
              <w:ind w:right="-74"/>
            </w:pPr>
            <w:r w:rsidRPr="00AF1805">
              <w:rPr>
                <w:b/>
              </w:rPr>
              <w:t>при помещении товаров на склад временного хранения:</w:t>
            </w:r>
          </w:p>
        </w:tc>
        <w:tc>
          <w:tcPr>
            <w:tcW w:w="1134" w:type="dxa"/>
          </w:tcPr>
          <w:p w14:paraId="38C39111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  <w:tc>
          <w:tcPr>
            <w:tcW w:w="1134" w:type="dxa"/>
          </w:tcPr>
          <w:p w14:paraId="41A10873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</w:tcPr>
          <w:p w14:paraId="59CE045C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14:paraId="4F8A1C6E" w14:textId="77777777" w:rsidR="009C77EB" w:rsidRPr="00AF1805" w:rsidRDefault="009C77EB" w:rsidP="00740C6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</w:tr>
      <w:tr w:rsidR="009C77EB" w14:paraId="76F028DA" w14:textId="77777777" w:rsidTr="00740C62">
        <w:tc>
          <w:tcPr>
            <w:tcW w:w="1277" w:type="dxa"/>
            <w:vMerge/>
          </w:tcPr>
          <w:p w14:paraId="1F64D1F0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79D6A5E6" w14:textId="77777777" w:rsidR="009C77EB" w:rsidRPr="00AF1805" w:rsidRDefault="009C77EB" w:rsidP="00740C62">
            <w:pPr>
              <w:spacing w:before="100" w:beforeAutospacing="1" w:after="100" w:afterAutospacing="1"/>
              <w:jc w:val="both"/>
            </w:pPr>
            <w:r w:rsidRPr="00AF1805">
              <w:t>- от 1 до 300 переданных ДО</w:t>
            </w:r>
          </w:p>
        </w:tc>
        <w:tc>
          <w:tcPr>
            <w:tcW w:w="1134" w:type="dxa"/>
          </w:tcPr>
          <w:p w14:paraId="3AA7595C" w14:textId="77777777" w:rsidR="009C77EB" w:rsidRPr="005949AC" w:rsidRDefault="009C77EB" w:rsidP="00740C62">
            <w:pPr>
              <w:spacing w:before="100" w:beforeAutospacing="1" w:after="100" w:afterAutospacing="1"/>
              <w:rPr>
                <w:bCs/>
              </w:rPr>
            </w:pPr>
            <w:r w:rsidRPr="005949AC">
              <w:rPr>
                <w:bCs/>
              </w:rPr>
              <w:t>57</w:t>
            </w:r>
            <w:r w:rsidRPr="005949AC">
              <w:rPr>
                <w:bCs/>
                <w:lang w:val="en-US"/>
              </w:rPr>
              <w:t>,</w:t>
            </w:r>
            <w:r w:rsidRPr="005949AC">
              <w:rPr>
                <w:bCs/>
              </w:rPr>
              <w:t>14</w:t>
            </w:r>
          </w:p>
        </w:tc>
        <w:tc>
          <w:tcPr>
            <w:tcW w:w="1134" w:type="dxa"/>
          </w:tcPr>
          <w:p w14:paraId="411BF6C3" w14:textId="77777777" w:rsidR="009C77EB" w:rsidRPr="005949AC" w:rsidRDefault="009C77EB" w:rsidP="00740C62">
            <w:pPr>
              <w:spacing w:before="100" w:beforeAutospacing="1" w:after="100" w:afterAutospacing="1"/>
              <w:ind w:right="-108"/>
              <w:rPr>
                <w:bCs/>
              </w:rPr>
            </w:pPr>
            <w:r w:rsidRPr="005949AC">
              <w:rPr>
                <w:bCs/>
              </w:rPr>
              <w:t>2,86</w:t>
            </w:r>
          </w:p>
        </w:tc>
        <w:tc>
          <w:tcPr>
            <w:tcW w:w="1276" w:type="dxa"/>
          </w:tcPr>
          <w:p w14:paraId="68D67699" w14:textId="77777777" w:rsidR="009C77EB" w:rsidRPr="005949AC" w:rsidRDefault="009C77EB" w:rsidP="00740C62">
            <w:pPr>
              <w:spacing w:before="100" w:beforeAutospacing="1" w:after="100" w:afterAutospacing="1"/>
              <w:ind w:right="-108"/>
              <w:rPr>
                <w:bCs/>
              </w:rPr>
            </w:pPr>
            <w:r w:rsidRPr="005949AC">
              <w:rPr>
                <w:bCs/>
              </w:rPr>
              <w:t>60,00</w:t>
            </w:r>
          </w:p>
        </w:tc>
        <w:tc>
          <w:tcPr>
            <w:tcW w:w="1843" w:type="dxa"/>
            <w:vMerge w:val="restart"/>
          </w:tcPr>
          <w:p w14:paraId="0690AAAB" w14:textId="77777777" w:rsidR="009C77EB" w:rsidRPr="00AF1805" w:rsidRDefault="009C77EB" w:rsidP="00740C62">
            <w:pPr>
              <w:spacing w:before="100" w:beforeAutospacing="1" w:after="100" w:afterAutospacing="1"/>
              <w:ind w:right="-108"/>
            </w:pPr>
            <w:r w:rsidRPr="00AF1805">
              <w:t>За каждую переданную ДО</w:t>
            </w:r>
          </w:p>
        </w:tc>
      </w:tr>
      <w:tr w:rsidR="009C77EB" w14:paraId="2D0255D8" w14:textId="77777777" w:rsidTr="00740C62">
        <w:tc>
          <w:tcPr>
            <w:tcW w:w="1277" w:type="dxa"/>
            <w:vMerge/>
          </w:tcPr>
          <w:p w14:paraId="765C1F04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471EC4FA" w14:textId="77777777" w:rsidR="009C77EB" w:rsidRPr="00AF1805" w:rsidRDefault="009C77EB" w:rsidP="00740C62">
            <w:pPr>
              <w:spacing w:before="100" w:beforeAutospacing="1" w:after="100" w:afterAutospacing="1"/>
              <w:jc w:val="both"/>
            </w:pPr>
            <w:r w:rsidRPr="00AF1805">
              <w:t>- от 301 до 500 переданных ДО</w:t>
            </w:r>
          </w:p>
        </w:tc>
        <w:tc>
          <w:tcPr>
            <w:tcW w:w="1134" w:type="dxa"/>
          </w:tcPr>
          <w:p w14:paraId="027793A6" w14:textId="77777777" w:rsidR="009C77EB" w:rsidRPr="005949AC" w:rsidRDefault="009C77EB" w:rsidP="00740C62">
            <w:pPr>
              <w:spacing w:before="100" w:beforeAutospacing="1" w:after="100" w:afterAutospacing="1"/>
              <w:rPr>
                <w:bCs/>
              </w:rPr>
            </w:pPr>
            <w:r w:rsidRPr="005949AC">
              <w:rPr>
                <w:bCs/>
              </w:rPr>
              <w:t>47</w:t>
            </w:r>
            <w:r w:rsidRPr="005949AC">
              <w:rPr>
                <w:bCs/>
                <w:lang w:val="en-US"/>
              </w:rPr>
              <w:t>,</w:t>
            </w:r>
            <w:r w:rsidRPr="005949AC">
              <w:rPr>
                <w:bCs/>
              </w:rPr>
              <w:t>62</w:t>
            </w:r>
          </w:p>
        </w:tc>
        <w:tc>
          <w:tcPr>
            <w:tcW w:w="1134" w:type="dxa"/>
          </w:tcPr>
          <w:p w14:paraId="4067FF34" w14:textId="77777777" w:rsidR="009C77EB" w:rsidRPr="005949AC" w:rsidRDefault="009C77EB" w:rsidP="00740C62">
            <w:pPr>
              <w:rPr>
                <w:bCs/>
              </w:rPr>
            </w:pPr>
            <w:r w:rsidRPr="005949AC">
              <w:rPr>
                <w:bCs/>
              </w:rPr>
              <w:t>2,38</w:t>
            </w:r>
          </w:p>
        </w:tc>
        <w:tc>
          <w:tcPr>
            <w:tcW w:w="1276" w:type="dxa"/>
          </w:tcPr>
          <w:p w14:paraId="70B634B3" w14:textId="77777777" w:rsidR="009C77EB" w:rsidRPr="005949AC" w:rsidRDefault="009C77EB" w:rsidP="00740C62">
            <w:pPr>
              <w:rPr>
                <w:bCs/>
              </w:rPr>
            </w:pPr>
            <w:r w:rsidRPr="005949AC">
              <w:rPr>
                <w:bCs/>
              </w:rPr>
              <w:t>50,00</w:t>
            </w:r>
          </w:p>
        </w:tc>
        <w:tc>
          <w:tcPr>
            <w:tcW w:w="1843" w:type="dxa"/>
            <w:vMerge/>
          </w:tcPr>
          <w:p w14:paraId="19109A76" w14:textId="77777777" w:rsidR="009C77EB" w:rsidRPr="00AF1805" w:rsidRDefault="009C77EB" w:rsidP="00740C62"/>
        </w:tc>
      </w:tr>
      <w:tr w:rsidR="009C77EB" w14:paraId="52A82CFA" w14:textId="77777777" w:rsidTr="00740C62">
        <w:trPr>
          <w:trHeight w:val="327"/>
        </w:trPr>
        <w:tc>
          <w:tcPr>
            <w:tcW w:w="1277" w:type="dxa"/>
            <w:vMerge/>
          </w:tcPr>
          <w:p w14:paraId="4DA4030E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281603C8" w14:textId="77777777" w:rsidR="009C77EB" w:rsidRPr="00AF1805" w:rsidRDefault="009C77EB" w:rsidP="00740C62">
            <w:pPr>
              <w:spacing w:before="100" w:beforeAutospacing="1" w:after="100" w:afterAutospacing="1"/>
              <w:jc w:val="both"/>
            </w:pPr>
            <w:r w:rsidRPr="00AF1805">
              <w:t>- от 501 переданных ДО</w:t>
            </w:r>
          </w:p>
        </w:tc>
        <w:tc>
          <w:tcPr>
            <w:tcW w:w="1134" w:type="dxa"/>
          </w:tcPr>
          <w:p w14:paraId="6F9BE55F" w14:textId="77777777" w:rsidR="009C77EB" w:rsidRPr="005949AC" w:rsidRDefault="009C77EB" w:rsidP="00740C62">
            <w:pPr>
              <w:spacing w:before="100" w:beforeAutospacing="1" w:after="100" w:afterAutospacing="1"/>
              <w:rPr>
                <w:bCs/>
              </w:rPr>
            </w:pPr>
            <w:r w:rsidRPr="005949AC">
              <w:rPr>
                <w:bCs/>
              </w:rPr>
              <w:t>37,14</w:t>
            </w:r>
          </w:p>
        </w:tc>
        <w:tc>
          <w:tcPr>
            <w:tcW w:w="1134" w:type="dxa"/>
          </w:tcPr>
          <w:p w14:paraId="4ABB65EC" w14:textId="77777777" w:rsidR="009C77EB" w:rsidRPr="005949AC" w:rsidRDefault="009C77EB" w:rsidP="00740C62">
            <w:pPr>
              <w:rPr>
                <w:bCs/>
              </w:rPr>
            </w:pPr>
            <w:r w:rsidRPr="005949AC">
              <w:rPr>
                <w:bCs/>
              </w:rPr>
              <w:t>1,86</w:t>
            </w:r>
          </w:p>
        </w:tc>
        <w:tc>
          <w:tcPr>
            <w:tcW w:w="1276" w:type="dxa"/>
          </w:tcPr>
          <w:p w14:paraId="1241E4AE" w14:textId="77777777" w:rsidR="009C77EB" w:rsidRPr="005949AC" w:rsidRDefault="009C77EB" w:rsidP="00740C62">
            <w:pPr>
              <w:rPr>
                <w:bCs/>
              </w:rPr>
            </w:pPr>
            <w:r w:rsidRPr="005949AC">
              <w:rPr>
                <w:bCs/>
              </w:rPr>
              <w:t>39,00</w:t>
            </w:r>
          </w:p>
        </w:tc>
        <w:tc>
          <w:tcPr>
            <w:tcW w:w="1843" w:type="dxa"/>
            <w:vMerge/>
          </w:tcPr>
          <w:p w14:paraId="04EEA7CE" w14:textId="77777777" w:rsidR="009C77EB" w:rsidRPr="00AF1805" w:rsidRDefault="009C77EB" w:rsidP="00740C62"/>
        </w:tc>
      </w:tr>
      <w:tr w:rsidR="009C77EB" w14:paraId="194FA3BC" w14:textId="77777777" w:rsidTr="00740C62">
        <w:tc>
          <w:tcPr>
            <w:tcW w:w="1277" w:type="dxa"/>
            <w:vMerge/>
          </w:tcPr>
          <w:p w14:paraId="18D253EE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57EA9485" w14:textId="77777777" w:rsidR="009C77EB" w:rsidRPr="00AF1805" w:rsidRDefault="009C77EB" w:rsidP="00740C62">
            <w:pPr>
              <w:spacing w:before="100" w:beforeAutospacing="1" w:after="100" w:afterAutospacing="1"/>
              <w:jc w:val="both"/>
            </w:pPr>
            <w:r w:rsidRPr="00AF1805">
              <w:rPr>
                <w:b/>
              </w:rPr>
              <w:t>при передаче документов ОЭЗ</w:t>
            </w:r>
          </w:p>
        </w:tc>
        <w:tc>
          <w:tcPr>
            <w:tcW w:w="1134" w:type="dxa"/>
          </w:tcPr>
          <w:p w14:paraId="5D50A1F5" w14:textId="77777777" w:rsidR="009C77EB" w:rsidRPr="005949AC" w:rsidRDefault="009C77EB" w:rsidP="00740C62">
            <w:pPr>
              <w:spacing w:before="100" w:beforeAutospacing="1" w:after="100" w:afterAutospacing="1"/>
              <w:rPr>
                <w:bCs/>
              </w:rPr>
            </w:pPr>
            <w:r w:rsidRPr="005949AC">
              <w:rPr>
                <w:bCs/>
              </w:rPr>
              <w:t>57</w:t>
            </w:r>
            <w:r w:rsidRPr="005949AC">
              <w:rPr>
                <w:bCs/>
                <w:lang w:val="en-US"/>
              </w:rPr>
              <w:t>,</w:t>
            </w:r>
            <w:r w:rsidRPr="005949AC">
              <w:rPr>
                <w:bCs/>
              </w:rPr>
              <w:t>14</w:t>
            </w:r>
          </w:p>
        </w:tc>
        <w:tc>
          <w:tcPr>
            <w:tcW w:w="1134" w:type="dxa"/>
          </w:tcPr>
          <w:p w14:paraId="79622691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2,86</w:t>
            </w:r>
          </w:p>
        </w:tc>
        <w:tc>
          <w:tcPr>
            <w:tcW w:w="1276" w:type="dxa"/>
          </w:tcPr>
          <w:p w14:paraId="456E7E77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60,00</w:t>
            </w:r>
          </w:p>
        </w:tc>
        <w:tc>
          <w:tcPr>
            <w:tcW w:w="1843" w:type="dxa"/>
          </w:tcPr>
          <w:p w14:paraId="3AF66363" w14:textId="77777777" w:rsidR="009C77EB" w:rsidRPr="00AF1805" w:rsidRDefault="009C77EB" w:rsidP="00740C62">
            <w:pPr>
              <w:autoSpaceDE w:val="0"/>
              <w:autoSpaceDN w:val="0"/>
              <w:adjustRightInd w:val="0"/>
            </w:pPr>
            <w:r w:rsidRPr="00AF1805">
              <w:t>За каждый зарегистрированный документ ОЭЗ</w:t>
            </w:r>
          </w:p>
        </w:tc>
      </w:tr>
      <w:tr w:rsidR="009C77EB" w14:paraId="616FBC75" w14:textId="77777777" w:rsidTr="00740C62">
        <w:trPr>
          <w:trHeight w:val="513"/>
        </w:trPr>
        <w:tc>
          <w:tcPr>
            <w:tcW w:w="1277" w:type="dxa"/>
            <w:vMerge/>
          </w:tcPr>
          <w:p w14:paraId="1F4923D0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53EFA519" w14:textId="77777777" w:rsidR="009C77EB" w:rsidRPr="00AF1805" w:rsidRDefault="009C77EB" w:rsidP="00740C62">
            <w:pPr>
              <w:autoSpaceDE w:val="0"/>
              <w:autoSpaceDN w:val="0"/>
              <w:adjustRightInd w:val="0"/>
              <w:rPr>
                <w:b/>
              </w:rPr>
            </w:pPr>
            <w:r w:rsidRPr="00AF1805">
              <w:rPr>
                <w:b/>
              </w:rPr>
              <w:t>при передаче пассажирской таможенной декларации (ПТД)</w:t>
            </w:r>
          </w:p>
        </w:tc>
        <w:tc>
          <w:tcPr>
            <w:tcW w:w="1134" w:type="dxa"/>
          </w:tcPr>
          <w:p w14:paraId="2B9D9550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26,67</w:t>
            </w:r>
          </w:p>
        </w:tc>
        <w:tc>
          <w:tcPr>
            <w:tcW w:w="1134" w:type="dxa"/>
          </w:tcPr>
          <w:p w14:paraId="5775E0BF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1,33</w:t>
            </w:r>
          </w:p>
        </w:tc>
        <w:tc>
          <w:tcPr>
            <w:tcW w:w="1276" w:type="dxa"/>
          </w:tcPr>
          <w:p w14:paraId="603BF28D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28,00</w:t>
            </w:r>
          </w:p>
        </w:tc>
        <w:tc>
          <w:tcPr>
            <w:tcW w:w="1843" w:type="dxa"/>
          </w:tcPr>
          <w:p w14:paraId="76D4EC07" w14:textId="77777777" w:rsidR="009C77EB" w:rsidRPr="00AF1805" w:rsidRDefault="009C77EB" w:rsidP="00740C62">
            <w:pPr>
              <w:autoSpaceDE w:val="0"/>
              <w:autoSpaceDN w:val="0"/>
              <w:adjustRightInd w:val="0"/>
            </w:pPr>
            <w:r w:rsidRPr="00AF1805">
              <w:t>За каждую ПТД</w:t>
            </w:r>
          </w:p>
        </w:tc>
      </w:tr>
      <w:tr w:rsidR="009C77EB" w14:paraId="21ACA2B4" w14:textId="77777777" w:rsidTr="00740C62">
        <w:trPr>
          <w:trHeight w:val="513"/>
        </w:trPr>
        <w:tc>
          <w:tcPr>
            <w:tcW w:w="1277" w:type="dxa"/>
          </w:tcPr>
          <w:p w14:paraId="169DAE59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Безлимит</w:t>
            </w:r>
          </w:p>
          <w:p w14:paraId="3A3637A4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**</w:t>
            </w:r>
          </w:p>
        </w:tc>
        <w:tc>
          <w:tcPr>
            <w:tcW w:w="3827" w:type="dxa"/>
          </w:tcPr>
          <w:p w14:paraId="4D0167F8" w14:textId="77777777" w:rsidR="009C77EB" w:rsidRPr="00AF1805" w:rsidRDefault="009C77EB" w:rsidP="00740C6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</w:tcPr>
          <w:p w14:paraId="49FE6352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5949AC">
              <w:rPr>
                <w:bCs/>
              </w:rPr>
              <w:t>21904,76</w:t>
            </w:r>
          </w:p>
        </w:tc>
        <w:tc>
          <w:tcPr>
            <w:tcW w:w="1134" w:type="dxa"/>
          </w:tcPr>
          <w:p w14:paraId="3F350C8B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1095,24</w:t>
            </w:r>
          </w:p>
        </w:tc>
        <w:tc>
          <w:tcPr>
            <w:tcW w:w="1276" w:type="dxa"/>
          </w:tcPr>
          <w:p w14:paraId="712EFC79" w14:textId="77777777" w:rsidR="009C77EB" w:rsidRPr="005949AC" w:rsidRDefault="009C77EB" w:rsidP="00740C62">
            <w:pPr>
              <w:autoSpaceDE w:val="0"/>
              <w:autoSpaceDN w:val="0"/>
              <w:adjustRightInd w:val="0"/>
              <w:rPr>
                <w:bCs/>
              </w:rPr>
            </w:pPr>
            <w:r w:rsidRPr="005949AC">
              <w:rPr>
                <w:bCs/>
              </w:rPr>
              <w:t>23000,00</w:t>
            </w:r>
          </w:p>
        </w:tc>
        <w:tc>
          <w:tcPr>
            <w:tcW w:w="1843" w:type="dxa"/>
          </w:tcPr>
          <w:p w14:paraId="32988ED7" w14:textId="77777777" w:rsidR="009C77EB" w:rsidRPr="00AF1805" w:rsidRDefault="009C77EB" w:rsidP="00740C62">
            <w:pPr>
              <w:autoSpaceDE w:val="0"/>
              <w:autoSpaceDN w:val="0"/>
              <w:adjustRightInd w:val="0"/>
              <w:rPr>
                <w:b/>
              </w:rPr>
            </w:pPr>
            <w:r w:rsidRPr="00AF1805">
              <w:t>Месяц</w:t>
            </w:r>
          </w:p>
        </w:tc>
      </w:tr>
    </w:tbl>
    <w:p w14:paraId="76EA89A3" w14:textId="77777777" w:rsidR="009C77EB" w:rsidRPr="00AF1805" w:rsidRDefault="009C77EB" w:rsidP="009C77EB">
      <w:pPr>
        <w:autoSpaceDE w:val="0"/>
        <w:autoSpaceDN w:val="0"/>
        <w:adjustRightInd w:val="0"/>
        <w:ind w:left="-900" w:right="-366" w:firstLine="900"/>
        <w:jc w:val="both"/>
        <w:rPr>
          <w:b/>
          <w:sz w:val="6"/>
          <w:szCs w:val="6"/>
        </w:rPr>
      </w:pPr>
    </w:p>
    <w:p w14:paraId="1EAF1F8A" w14:textId="77777777" w:rsidR="009C77EB" w:rsidRPr="004E4889" w:rsidRDefault="009C77EB" w:rsidP="009C77EB">
      <w:pPr>
        <w:autoSpaceDE w:val="0"/>
        <w:autoSpaceDN w:val="0"/>
        <w:adjustRightInd w:val="0"/>
        <w:ind w:left="-900" w:right="-366" w:firstLine="900"/>
        <w:jc w:val="both"/>
        <w:rPr>
          <w:b/>
          <w:sz w:val="24"/>
        </w:rPr>
      </w:pPr>
      <w:r w:rsidRPr="004E4889">
        <w:rPr>
          <w:b/>
          <w:sz w:val="24"/>
        </w:rPr>
        <w:t>ДОПОЛНИТЕЛЬНЫЕ УСЛУГИ:</w:t>
      </w:r>
    </w:p>
    <w:tbl>
      <w:tblPr>
        <w:tblStyle w:val="ac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104"/>
        <w:gridCol w:w="1134"/>
        <w:gridCol w:w="1134"/>
        <w:gridCol w:w="1276"/>
        <w:gridCol w:w="1843"/>
      </w:tblGrid>
      <w:tr w:rsidR="009C77EB" w14:paraId="327DD458" w14:textId="77777777" w:rsidTr="00740C62">
        <w:tc>
          <w:tcPr>
            <w:tcW w:w="5104" w:type="dxa"/>
            <w:vMerge w:val="restart"/>
          </w:tcPr>
          <w:p w14:paraId="3F59A535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Услуга</w:t>
            </w:r>
          </w:p>
        </w:tc>
        <w:tc>
          <w:tcPr>
            <w:tcW w:w="3544" w:type="dxa"/>
            <w:gridSpan w:val="3"/>
          </w:tcPr>
          <w:p w14:paraId="6D23C54F" w14:textId="77777777" w:rsidR="009C77EB" w:rsidRPr="00E01DB0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01DB0">
              <w:rPr>
                <w:b/>
                <w:sz w:val="22"/>
                <w:szCs w:val="22"/>
              </w:rPr>
              <w:t>Стоимость, рубли</w:t>
            </w:r>
          </w:p>
        </w:tc>
        <w:tc>
          <w:tcPr>
            <w:tcW w:w="1843" w:type="dxa"/>
            <w:vMerge w:val="restart"/>
          </w:tcPr>
          <w:p w14:paraId="1055467D" w14:textId="77777777" w:rsidR="009C77EB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01DB0">
              <w:rPr>
                <w:b/>
                <w:sz w:val="22"/>
                <w:szCs w:val="22"/>
              </w:rPr>
              <w:t>Единица тарификации</w:t>
            </w:r>
          </w:p>
        </w:tc>
      </w:tr>
      <w:tr w:rsidR="009C77EB" w:rsidRPr="004E4889" w14:paraId="34F257CB" w14:textId="77777777" w:rsidTr="00740C62">
        <w:tc>
          <w:tcPr>
            <w:tcW w:w="5104" w:type="dxa"/>
            <w:vMerge/>
          </w:tcPr>
          <w:p w14:paraId="204810E2" w14:textId="77777777" w:rsidR="009C77EB" w:rsidRPr="00B0747C" w:rsidRDefault="009C77EB" w:rsidP="00740C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BC6A93" w14:textId="77777777" w:rsidR="009C77EB" w:rsidRPr="00AF1805" w:rsidRDefault="009C77EB" w:rsidP="00740C62">
            <w:pPr>
              <w:autoSpaceDE w:val="0"/>
              <w:autoSpaceDN w:val="0"/>
              <w:adjustRightInd w:val="0"/>
              <w:jc w:val="center"/>
            </w:pPr>
            <w:r w:rsidRPr="005949AC">
              <w:rPr>
                <w:b/>
                <w:bCs/>
              </w:rPr>
              <w:t>Цена без НДС</w:t>
            </w:r>
          </w:p>
        </w:tc>
        <w:tc>
          <w:tcPr>
            <w:tcW w:w="1134" w:type="dxa"/>
          </w:tcPr>
          <w:p w14:paraId="62512CEB" w14:textId="77777777" w:rsidR="009C77EB" w:rsidRPr="005949AC" w:rsidRDefault="009C77EB" w:rsidP="00740C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9AC">
              <w:rPr>
                <w:b/>
                <w:bCs/>
              </w:rPr>
              <w:t>НДС</w:t>
            </w:r>
          </w:p>
          <w:p w14:paraId="5F3510F4" w14:textId="77777777" w:rsidR="009C77EB" w:rsidRPr="00AF1805" w:rsidRDefault="009C77EB" w:rsidP="00740C62">
            <w:pPr>
              <w:autoSpaceDE w:val="0"/>
              <w:autoSpaceDN w:val="0"/>
              <w:adjustRightInd w:val="0"/>
              <w:jc w:val="center"/>
            </w:pPr>
            <w:r w:rsidRPr="005949AC">
              <w:rPr>
                <w:b/>
                <w:bCs/>
              </w:rPr>
              <w:t>(5 %)</w:t>
            </w:r>
          </w:p>
        </w:tc>
        <w:tc>
          <w:tcPr>
            <w:tcW w:w="1276" w:type="dxa"/>
          </w:tcPr>
          <w:p w14:paraId="11D85BD3" w14:textId="77777777" w:rsidR="009C77EB" w:rsidRPr="00AF1805" w:rsidRDefault="009C77EB" w:rsidP="00740C62">
            <w:pPr>
              <w:autoSpaceDE w:val="0"/>
              <w:autoSpaceDN w:val="0"/>
              <w:adjustRightInd w:val="0"/>
              <w:jc w:val="center"/>
            </w:pPr>
            <w:r w:rsidRPr="005949AC">
              <w:rPr>
                <w:b/>
                <w:bCs/>
              </w:rPr>
              <w:t>Стоимость, в т.ч. НДС</w:t>
            </w:r>
          </w:p>
        </w:tc>
        <w:tc>
          <w:tcPr>
            <w:tcW w:w="1843" w:type="dxa"/>
            <w:vMerge/>
          </w:tcPr>
          <w:p w14:paraId="344778CE" w14:textId="77777777" w:rsidR="009C77EB" w:rsidRPr="00AF1805" w:rsidRDefault="009C77EB" w:rsidP="00740C62">
            <w:pPr>
              <w:autoSpaceDE w:val="0"/>
              <w:autoSpaceDN w:val="0"/>
              <w:adjustRightInd w:val="0"/>
            </w:pPr>
          </w:p>
        </w:tc>
      </w:tr>
      <w:tr w:rsidR="009C77EB" w:rsidRPr="004E4889" w14:paraId="6279D2AA" w14:textId="77777777" w:rsidTr="00740C62">
        <w:tc>
          <w:tcPr>
            <w:tcW w:w="5104" w:type="dxa"/>
          </w:tcPr>
          <w:p w14:paraId="501EE23C" w14:textId="77777777" w:rsidR="009C77EB" w:rsidRDefault="009C77EB" w:rsidP="00740C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747C">
              <w:rPr>
                <w:sz w:val="22"/>
                <w:szCs w:val="22"/>
              </w:rPr>
              <w:t xml:space="preserve">Предоставление доступа к сервису "Таможенная карта" для оплаты таможенных платежей  </w:t>
            </w:r>
          </w:p>
          <w:p w14:paraId="4BD9E952" w14:textId="77777777" w:rsidR="009C77EB" w:rsidRPr="004E4889" w:rsidRDefault="009C77EB" w:rsidP="00740C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2C0D">
              <w:rPr>
                <w:color w:val="333333"/>
                <w:sz w:val="16"/>
                <w:shd w:val="clear" w:color="auto" w:fill="FFFFFF"/>
              </w:rPr>
              <w:t>предоставление доступа к информационной системе оператора с целью формирования ЭТС для уплаты таможенных платежей через оператора таможенных платежей ООО "Таможенная карта" (направление сообщений оператору таможенных платежей и прием сообщений от оператора таможенных платежей)</w:t>
            </w:r>
          </w:p>
        </w:tc>
        <w:tc>
          <w:tcPr>
            <w:tcW w:w="1134" w:type="dxa"/>
          </w:tcPr>
          <w:p w14:paraId="01D8BA3F" w14:textId="77777777" w:rsidR="009C77EB" w:rsidRPr="00AF1805" w:rsidRDefault="009C77EB" w:rsidP="00740C62">
            <w:pPr>
              <w:autoSpaceDE w:val="0"/>
              <w:autoSpaceDN w:val="0"/>
              <w:adjustRightInd w:val="0"/>
              <w:jc w:val="right"/>
              <w:rPr>
                <w:highlight w:val="yellow"/>
              </w:rPr>
            </w:pPr>
            <w:r w:rsidRPr="00AF1805">
              <w:t>1</w:t>
            </w:r>
            <w:r>
              <w:t>1,43</w:t>
            </w:r>
          </w:p>
        </w:tc>
        <w:tc>
          <w:tcPr>
            <w:tcW w:w="1134" w:type="dxa"/>
          </w:tcPr>
          <w:p w14:paraId="726DB2FD" w14:textId="77777777" w:rsidR="009C77EB" w:rsidRPr="00AF1805" w:rsidRDefault="009C77EB" w:rsidP="00740C62">
            <w:pPr>
              <w:autoSpaceDE w:val="0"/>
              <w:autoSpaceDN w:val="0"/>
              <w:adjustRightInd w:val="0"/>
            </w:pPr>
            <w:r>
              <w:t>0,57</w:t>
            </w:r>
          </w:p>
        </w:tc>
        <w:tc>
          <w:tcPr>
            <w:tcW w:w="1276" w:type="dxa"/>
          </w:tcPr>
          <w:p w14:paraId="75788547" w14:textId="77777777" w:rsidR="009C77EB" w:rsidRPr="00AF1805" w:rsidRDefault="009C77EB" w:rsidP="00740C62">
            <w:pPr>
              <w:autoSpaceDE w:val="0"/>
              <w:autoSpaceDN w:val="0"/>
              <w:adjustRightInd w:val="0"/>
            </w:pPr>
            <w:r>
              <w:t>12,00</w:t>
            </w:r>
          </w:p>
        </w:tc>
        <w:tc>
          <w:tcPr>
            <w:tcW w:w="1843" w:type="dxa"/>
          </w:tcPr>
          <w:p w14:paraId="2B9DDED1" w14:textId="77777777" w:rsidR="009C77EB" w:rsidRPr="00AF1805" w:rsidRDefault="009C77EB" w:rsidP="00740C62">
            <w:pPr>
              <w:autoSpaceDE w:val="0"/>
              <w:autoSpaceDN w:val="0"/>
              <w:adjustRightInd w:val="0"/>
            </w:pPr>
            <w:r w:rsidRPr="00AF1805">
              <w:t>За каждое сообщение от оператора таможенных платежей об исполнении платежа</w:t>
            </w:r>
          </w:p>
        </w:tc>
      </w:tr>
      <w:tr w:rsidR="009C77EB" w:rsidRPr="004E4889" w14:paraId="2A8F36F0" w14:textId="77777777" w:rsidTr="00740C62">
        <w:tc>
          <w:tcPr>
            <w:tcW w:w="5104" w:type="dxa"/>
          </w:tcPr>
          <w:p w14:paraId="76939C52" w14:textId="77777777" w:rsidR="009C77EB" w:rsidRPr="00AF1805" w:rsidRDefault="009C77EB" w:rsidP="00740C62">
            <w:pPr>
              <w:autoSpaceDE w:val="0"/>
              <w:autoSpaceDN w:val="0"/>
              <w:adjustRightInd w:val="0"/>
            </w:pPr>
            <w:r w:rsidRPr="00AF1805">
              <w:t xml:space="preserve">Информация о статусе таможенного оформления в личном кабинете </w:t>
            </w:r>
          </w:p>
        </w:tc>
        <w:tc>
          <w:tcPr>
            <w:tcW w:w="5387" w:type="dxa"/>
            <w:gridSpan w:val="4"/>
          </w:tcPr>
          <w:p w14:paraId="17E0EA75" w14:textId="77777777" w:rsidR="009C77EB" w:rsidRPr="00AF1805" w:rsidRDefault="009C77EB" w:rsidP="00740C62">
            <w:pPr>
              <w:autoSpaceDE w:val="0"/>
              <w:autoSpaceDN w:val="0"/>
              <w:adjustRightInd w:val="0"/>
            </w:pPr>
            <w:r w:rsidRPr="00AF1805">
              <w:t>Бесплатно, круглосуточно</w:t>
            </w:r>
          </w:p>
        </w:tc>
      </w:tr>
    </w:tbl>
    <w:tbl>
      <w:tblPr>
        <w:tblW w:w="57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1"/>
      </w:tblGrid>
      <w:tr w:rsidR="009C77EB" w:rsidRPr="00545342" w14:paraId="2878A43A" w14:textId="77777777" w:rsidTr="00740C62">
        <w:tc>
          <w:tcPr>
            <w:tcW w:w="0" w:type="auto"/>
            <w:vAlign w:val="center"/>
            <w:hideMark/>
          </w:tcPr>
          <w:p w14:paraId="533B6403" w14:textId="77777777" w:rsidR="009C77EB" w:rsidRPr="00545342" w:rsidRDefault="009C77EB" w:rsidP="00740C62">
            <w:pPr>
              <w:rPr>
                <w:rFonts w:ascii="Helvetica" w:hAnsi="Helvetica" w:cs="Helvetica"/>
                <w:color w:val="4D4D4D"/>
                <w:sz w:val="21"/>
                <w:szCs w:val="21"/>
              </w:rPr>
            </w:pPr>
          </w:p>
        </w:tc>
      </w:tr>
    </w:tbl>
    <w:p w14:paraId="37411671" w14:textId="77777777" w:rsidR="009C77EB" w:rsidRPr="004E4889" w:rsidRDefault="009C77EB" w:rsidP="009C77EB">
      <w:pPr>
        <w:autoSpaceDE w:val="0"/>
        <w:autoSpaceDN w:val="0"/>
        <w:adjustRightInd w:val="0"/>
        <w:ind w:left="-993" w:right="-426"/>
        <w:jc w:val="both"/>
        <w:rPr>
          <w:b/>
          <w:sz w:val="22"/>
          <w:szCs w:val="22"/>
        </w:rPr>
      </w:pPr>
      <w:r w:rsidRPr="004E4889">
        <w:rPr>
          <w:b/>
          <w:sz w:val="22"/>
          <w:szCs w:val="22"/>
        </w:rPr>
        <w:t xml:space="preserve">Подключение к ИС ЭПС Исполнителя - </w:t>
      </w:r>
      <w:r>
        <w:rPr>
          <w:b/>
          <w:sz w:val="22"/>
          <w:szCs w:val="22"/>
        </w:rPr>
        <w:t>2200</w:t>
      </w:r>
      <w:r w:rsidRPr="004E4889">
        <w:rPr>
          <w:b/>
          <w:sz w:val="22"/>
          <w:szCs w:val="22"/>
        </w:rPr>
        <w:t xml:space="preserve"> руб.</w:t>
      </w:r>
      <w:r>
        <w:rPr>
          <w:b/>
          <w:sz w:val="22"/>
          <w:szCs w:val="22"/>
        </w:rPr>
        <w:t>, в т.ч. НДС 5% 104 руб.76коп.</w:t>
      </w:r>
      <w:r w:rsidRPr="004E4889">
        <w:rPr>
          <w:b/>
          <w:sz w:val="22"/>
          <w:szCs w:val="22"/>
        </w:rPr>
        <w:t xml:space="preserve"> Оплачивается разово при заключении договора.</w:t>
      </w:r>
    </w:p>
    <w:p w14:paraId="5706D0EE" w14:textId="77777777" w:rsidR="009C77EB" w:rsidRPr="00AF1805" w:rsidRDefault="009C77EB" w:rsidP="009C77EB">
      <w:pPr>
        <w:autoSpaceDE w:val="0"/>
        <w:autoSpaceDN w:val="0"/>
        <w:adjustRightInd w:val="0"/>
        <w:ind w:left="-993" w:right="-426"/>
        <w:jc w:val="both"/>
        <w:rPr>
          <w:sz w:val="10"/>
          <w:szCs w:val="12"/>
        </w:rPr>
      </w:pPr>
    </w:p>
    <w:p w14:paraId="3B8A192C" w14:textId="77777777" w:rsidR="009C77EB" w:rsidRPr="00462C0D" w:rsidRDefault="009C77EB" w:rsidP="009C77EB">
      <w:pPr>
        <w:autoSpaceDE w:val="0"/>
        <w:autoSpaceDN w:val="0"/>
        <w:adjustRightInd w:val="0"/>
        <w:ind w:left="-993" w:right="-426"/>
        <w:jc w:val="both"/>
        <w:rPr>
          <w:sz w:val="18"/>
        </w:rPr>
      </w:pPr>
      <w:r w:rsidRPr="00462C0D">
        <w:rPr>
          <w:sz w:val="18"/>
        </w:rPr>
        <w:t>Во всех случаях под ДТ понимается совокупность электронных телематических сообщений, поданных в рамках одной процедуры.</w:t>
      </w:r>
    </w:p>
    <w:p w14:paraId="3BF4773D" w14:textId="77777777" w:rsidR="009C77EB" w:rsidRPr="00462C0D" w:rsidRDefault="009C77EB" w:rsidP="009C77EB">
      <w:pPr>
        <w:tabs>
          <w:tab w:val="left" w:pos="0"/>
          <w:tab w:val="left" w:pos="180"/>
          <w:tab w:val="num" w:pos="720"/>
        </w:tabs>
        <w:ind w:left="-993" w:right="-426"/>
        <w:jc w:val="both"/>
        <w:rPr>
          <w:sz w:val="18"/>
        </w:rPr>
      </w:pPr>
      <w:r w:rsidRPr="00462C0D">
        <w:rPr>
          <w:sz w:val="18"/>
        </w:rPr>
        <w:t xml:space="preserve">* </w:t>
      </w:r>
      <w:proofErr w:type="gramStart"/>
      <w:r w:rsidRPr="00462C0D">
        <w:rPr>
          <w:sz w:val="18"/>
        </w:rPr>
        <w:t>Оплата  производится</w:t>
      </w:r>
      <w:proofErr w:type="gramEnd"/>
      <w:r w:rsidRPr="00462C0D">
        <w:rPr>
          <w:sz w:val="18"/>
        </w:rPr>
        <w:t xml:space="preserve"> Заказчиком за оказанные Исполнителем услуги, исходя из их количества, путем перечисления денежных средств на расчетный счет Исполнителя до 20 числа месяца, следующего за месяцем оказания услуг.</w:t>
      </w:r>
    </w:p>
    <w:p w14:paraId="2C8F393A" w14:textId="77777777" w:rsidR="009C77EB" w:rsidRPr="00462C0D" w:rsidRDefault="009C77EB" w:rsidP="009C77EB">
      <w:pPr>
        <w:pStyle w:val="ConsPlusNormal"/>
        <w:widowControl/>
        <w:ind w:left="-993" w:right="-426" w:firstLine="0"/>
        <w:jc w:val="both"/>
        <w:rPr>
          <w:rFonts w:ascii="Times New Roman" w:hAnsi="Times New Roman" w:cs="Times New Roman"/>
          <w:sz w:val="18"/>
        </w:rPr>
      </w:pPr>
      <w:r w:rsidRPr="00462C0D">
        <w:rPr>
          <w:rFonts w:ascii="Times New Roman" w:hAnsi="Times New Roman" w:cs="Times New Roman"/>
          <w:sz w:val="18"/>
        </w:rPr>
        <w:t>** Тариф "Безлимитный" включает неограниченное количество переданных в течение оплаченного месяца ЭТС при предварительном информировании, при электронном декларировании, при помещении товаров под процедуру таможенного транзита, при помещении товаров на склад временного хранения, при передаче документов ОЭЗ. Тариф "Безлимитный</w:t>
      </w:r>
      <w:proofErr w:type="gramStart"/>
      <w:r w:rsidRPr="00462C0D">
        <w:rPr>
          <w:rFonts w:ascii="Times New Roman" w:hAnsi="Times New Roman" w:cs="Times New Roman"/>
          <w:sz w:val="18"/>
        </w:rPr>
        <w:t>"  предоставляется</w:t>
      </w:r>
      <w:proofErr w:type="gramEnd"/>
      <w:r w:rsidRPr="00462C0D">
        <w:rPr>
          <w:rFonts w:ascii="Times New Roman" w:hAnsi="Times New Roman" w:cs="Times New Roman"/>
          <w:sz w:val="18"/>
        </w:rPr>
        <w:t xml:space="preserve"> Заказчику на основании его заявления и внесения оплаты на счет Исполнителя в срок до 25 числа месяца, предшествующего оплачиваемому, с указанием в назначении платежа «предварительная оплата услуг по тарифу "Безлимитный" по договору №_____ от _______ за ____</w:t>
      </w:r>
      <w:proofErr w:type="gramStart"/>
      <w:r w:rsidRPr="00462C0D">
        <w:rPr>
          <w:rFonts w:ascii="Times New Roman" w:hAnsi="Times New Roman" w:cs="Times New Roman"/>
          <w:sz w:val="18"/>
        </w:rPr>
        <w:t>_</w:t>
      </w:r>
      <w:r w:rsidRPr="00462C0D">
        <w:rPr>
          <w:rFonts w:ascii="Times New Roman" w:hAnsi="Times New Roman" w:cs="Times New Roman"/>
          <w:sz w:val="18"/>
          <w:u w:val="single"/>
        </w:rPr>
        <w:t>(</w:t>
      </w:r>
      <w:proofErr w:type="gramEnd"/>
      <w:r w:rsidRPr="00462C0D">
        <w:rPr>
          <w:rFonts w:ascii="Times New Roman" w:hAnsi="Times New Roman" w:cs="Times New Roman"/>
          <w:sz w:val="18"/>
          <w:u w:val="single"/>
        </w:rPr>
        <w:t>месяц оказания услуг)</w:t>
      </w:r>
      <w:r w:rsidRPr="00462C0D">
        <w:rPr>
          <w:rFonts w:ascii="Times New Roman" w:hAnsi="Times New Roman" w:cs="Times New Roman"/>
          <w:sz w:val="18"/>
        </w:rPr>
        <w:t xml:space="preserve">».  Плата за каждую оформленную ДТ, ТД, ДО, документ </w:t>
      </w:r>
      <w:proofErr w:type="gramStart"/>
      <w:r w:rsidRPr="00462C0D">
        <w:rPr>
          <w:rFonts w:ascii="Times New Roman" w:hAnsi="Times New Roman" w:cs="Times New Roman"/>
          <w:sz w:val="18"/>
        </w:rPr>
        <w:t>ОЭЗ  при</w:t>
      </w:r>
      <w:proofErr w:type="gramEnd"/>
      <w:r w:rsidRPr="00462C0D">
        <w:rPr>
          <w:rFonts w:ascii="Times New Roman" w:hAnsi="Times New Roman" w:cs="Times New Roman"/>
          <w:sz w:val="18"/>
        </w:rPr>
        <w:t xml:space="preserve"> этом не взимается. </w:t>
      </w:r>
    </w:p>
    <w:p w14:paraId="0D93264A" w14:textId="77777777" w:rsidR="009C77EB" w:rsidRPr="00462C0D" w:rsidRDefault="009C77EB" w:rsidP="009C77EB">
      <w:pPr>
        <w:autoSpaceDE w:val="0"/>
        <w:autoSpaceDN w:val="0"/>
        <w:adjustRightInd w:val="0"/>
        <w:ind w:left="-993" w:right="-426"/>
        <w:jc w:val="both"/>
        <w:rPr>
          <w:sz w:val="18"/>
        </w:rPr>
      </w:pPr>
      <w:r w:rsidRPr="00462C0D">
        <w:rPr>
          <w:sz w:val="18"/>
        </w:rPr>
        <w:t>В случае отсутствия предоплаты либо иного назначения платежа оплата взимается за оказанные услуги в соответствии с тарифом "Обычный".</w:t>
      </w:r>
    </w:p>
    <w:p w14:paraId="61308B8B" w14:textId="77777777" w:rsidR="009C77EB" w:rsidRPr="00462C0D" w:rsidRDefault="009C77EB" w:rsidP="009C77EB">
      <w:pPr>
        <w:autoSpaceDE w:val="0"/>
        <w:autoSpaceDN w:val="0"/>
        <w:adjustRightInd w:val="0"/>
        <w:ind w:left="-993" w:right="-426"/>
        <w:jc w:val="both"/>
        <w:rPr>
          <w:sz w:val="22"/>
          <w:szCs w:val="22"/>
          <w:highlight w:val="yellow"/>
        </w:rPr>
      </w:pPr>
      <w:r w:rsidRPr="00462C0D">
        <w:rPr>
          <w:b/>
          <w:color w:val="FF0000"/>
          <w:sz w:val="18"/>
        </w:rPr>
        <w:t xml:space="preserve">!!! </w:t>
      </w:r>
      <w:r w:rsidRPr="00462C0D">
        <w:rPr>
          <w:sz w:val="18"/>
        </w:rPr>
        <w:t>Применяется в отношении не более 10 рабочих мест (терминалов и (или) пользовательского (оконечного) оборудования) АС Заказчика. Следующие рабочие места АС Заказчика оплачиваются дополнительно в размере 1000 рублей, в т.ч. НДС 5% за каждое рабочее место.</w:t>
      </w:r>
    </w:p>
    <w:p w14:paraId="6AE2E7A8" w14:textId="77777777" w:rsidR="00D904A6" w:rsidRDefault="00D904A6"/>
    <w:sectPr w:rsidR="00D904A6" w:rsidSect="009C77E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EB"/>
    <w:rsid w:val="00337406"/>
    <w:rsid w:val="009C77EB"/>
    <w:rsid w:val="00A7787B"/>
    <w:rsid w:val="00BF45F6"/>
    <w:rsid w:val="00C53083"/>
    <w:rsid w:val="00D904A6"/>
    <w:rsid w:val="00DB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4C56"/>
  <w15:chartTrackingRefBased/>
  <w15:docId w15:val="{E5A3FB4D-6BC2-45A5-89D0-49DE8673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7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77E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7E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E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7E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7E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7E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7E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7E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7E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7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7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77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77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77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77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77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77E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C7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7E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C7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77E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C77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77E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9C77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C77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77E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C7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C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Щеглова</dc:creator>
  <cp:keywords/>
  <dc:description/>
  <cp:lastModifiedBy>Анна В. Щеглова</cp:lastModifiedBy>
  <cp:revision>1</cp:revision>
  <dcterms:created xsi:type="dcterms:W3CDTF">2025-12-15T11:32:00Z</dcterms:created>
  <dcterms:modified xsi:type="dcterms:W3CDTF">2025-12-15T11:33:00Z</dcterms:modified>
</cp:coreProperties>
</file>